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5E8B2" w14:textId="11656145" w:rsidR="00180A5A" w:rsidRPr="002D4BE5" w:rsidRDefault="00180A5A" w:rsidP="002D4BE5">
      <w:pPr>
        <w:spacing w:line="48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2D4BE5">
        <w:rPr>
          <w:rFonts w:ascii="Times New Roman" w:hAnsi="Times New Roman" w:cs="Times New Roman"/>
          <w:sz w:val="26"/>
          <w:szCs w:val="26"/>
        </w:rPr>
        <w:t>52.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="002D4BE5">
        <w:rPr>
          <w:rFonts w:ascii="Times New Roman" w:hAnsi="Times New Roman" w:cs="Times New Roman"/>
          <w:sz w:val="26"/>
          <w:szCs w:val="26"/>
        </w:rPr>
        <w:tab/>
      </w:r>
      <w:r w:rsidRPr="002D4BE5">
        <w:rPr>
          <w:rFonts w:ascii="Times New Roman" w:hAnsi="Times New Roman" w:cs="Times New Roman"/>
          <w:sz w:val="26"/>
          <w:szCs w:val="26"/>
        </w:rPr>
        <w:t>The BIA has held that detention cannot be mandatory where the government is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“substantially unlikely to prevail” on its charges of removability. Matter of Joseph, 22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I</w:t>
      </w:r>
      <w:r w:rsidR="002D4BE5">
        <w:rPr>
          <w:rFonts w:ascii="Times New Roman" w:hAnsi="Times New Roman" w:cs="Times New Roman"/>
          <w:sz w:val="26"/>
          <w:szCs w:val="26"/>
        </w:rPr>
        <w:t>&amp;</w:t>
      </w:r>
      <w:r w:rsidRPr="002D4BE5">
        <w:rPr>
          <w:rFonts w:ascii="Times New Roman" w:hAnsi="Times New Roman" w:cs="Times New Roman"/>
          <w:sz w:val="26"/>
          <w:szCs w:val="26"/>
        </w:rPr>
        <w:t>N Dec. 799, 807 (BIA 1999). Additionally, the circuit courts to have taken up the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issue have found that mandatory detention cannot be applied where the respondent has a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substantial argument against removability. See Tijani v. Willis, 430 F.3d 1241, 1244–47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(9th Cir. 2005) (Tashima, J., concurring); Gonzalez v. O’Connell, 355 F.3d 1010,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 xml:space="preserve">1019–21 (7th Cir. 2004); see also </w:t>
      </w:r>
      <w:proofErr w:type="spellStart"/>
      <w:r w:rsidRPr="002D4BE5">
        <w:rPr>
          <w:rFonts w:ascii="Times New Roman" w:hAnsi="Times New Roman" w:cs="Times New Roman"/>
          <w:sz w:val="26"/>
          <w:szCs w:val="26"/>
        </w:rPr>
        <w:t>Demore</w:t>
      </w:r>
      <w:proofErr w:type="spellEnd"/>
      <w:r w:rsidRPr="002D4BE5">
        <w:rPr>
          <w:rFonts w:ascii="Times New Roman" w:hAnsi="Times New Roman" w:cs="Times New Roman"/>
          <w:sz w:val="26"/>
          <w:szCs w:val="26"/>
        </w:rPr>
        <w:t>, 538 U.S. at 578 (Breyer, J., dissenting)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(arguing that the “substantial question of law or fact” standard found in the federal bail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statute, 18 U.S.C. § 3143(b)(1)(B), should be applied in the immigration context, as it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would effectively balance the “special governmental interest in detention” while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protecting “a detained alien’s liberty interest”); Gayle v. Johnson, 4 F.Supp.3d 692, 721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(D.N.J. 2014).</w:t>
      </w:r>
    </w:p>
    <w:p w14:paraId="383C7741" w14:textId="6180485F" w:rsidR="00843A6E" w:rsidRPr="002D4BE5" w:rsidRDefault="00180A5A" w:rsidP="002D4BE5">
      <w:pPr>
        <w:spacing w:line="48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2D4BE5">
        <w:rPr>
          <w:rFonts w:ascii="Times New Roman" w:hAnsi="Times New Roman" w:cs="Times New Roman"/>
          <w:sz w:val="26"/>
          <w:szCs w:val="26"/>
        </w:rPr>
        <w:t xml:space="preserve">53. </w:t>
      </w:r>
      <w:r w:rsidR="002D4BE5">
        <w:rPr>
          <w:rFonts w:ascii="Times New Roman" w:hAnsi="Times New Roman" w:cs="Times New Roman"/>
          <w:sz w:val="26"/>
          <w:szCs w:val="26"/>
        </w:rPr>
        <w:tab/>
      </w:r>
      <w:r w:rsidRPr="002D4BE5">
        <w:rPr>
          <w:rFonts w:ascii="Times New Roman" w:hAnsi="Times New Roman" w:cs="Times New Roman"/>
          <w:sz w:val="26"/>
          <w:szCs w:val="26"/>
        </w:rPr>
        <w:t xml:space="preserve">Here, Petitioner has been detained longer than the </w:t>
      </w:r>
      <w:proofErr w:type="gramStart"/>
      <w:r w:rsidRPr="002D4BE5">
        <w:rPr>
          <w:rFonts w:ascii="Times New Roman" w:hAnsi="Times New Roman" w:cs="Times New Roman"/>
          <w:sz w:val="26"/>
          <w:szCs w:val="26"/>
        </w:rPr>
        <w:t>time period</w:t>
      </w:r>
      <w:proofErr w:type="gramEnd"/>
      <w:r w:rsidRPr="002D4BE5">
        <w:rPr>
          <w:rFonts w:ascii="Times New Roman" w:hAnsi="Times New Roman" w:cs="Times New Roman"/>
          <w:sz w:val="26"/>
          <w:szCs w:val="26"/>
        </w:rPr>
        <w:t xml:space="preserve"> addressed in </w:t>
      </w:r>
      <w:proofErr w:type="spellStart"/>
      <w:r w:rsidRPr="002D4BE5">
        <w:rPr>
          <w:rFonts w:ascii="Times New Roman" w:hAnsi="Times New Roman" w:cs="Times New Roman"/>
          <w:sz w:val="26"/>
          <w:szCs w:val="26"/>
        </w:rPr>
        <w:t>Demore</w:t>
      </w:r>
      <w:proofErr w:type="spellEnd"/>
      <w:r w:rsidRPr="002D4BE5">
        <w:rPr>
          <w:rFonts w:ascii="Times New Roman" w:hAnsi="Times New Roman" w:cs="Times New Roman"/>
          <w:sz w:val="26"/>
          <w:szCs w:val="26"/>
        </w:rPr>
        <w:t>.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Additionally, distinct from other cases heard by this Court and others, Petitioner’s actions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are not the source of the prolonged nature of his detention. Petitioner is not in detention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after losing his case while an appeal is pending before the Board of Immigration Appeals;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instead, he was granted relief, and he is currently being incarcerated while DHS’s appeal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is pending. This detention has now exceeded six months. This specific situation is not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contemplated by the immigration statutes, nor has it been explicitly discussed by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reviewing courts. Such detention cannot have been intended by Congress, as to do so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 xml:space="preserve">would create a </w:t>
      </w:r>
      <w:r w:rsidRPr="002D4BE5">
        <w:rPr>
          <w:rFonts w:ascii="Times New Roman" w:hAnsi="Times New Roman" w:cs="Times New Roman"/>
          <w:sz w:val="26"/>
          <w:szCs w:val="26"/>
        </w:rPr>
        <w:lastRenderedPageBreak/>
        <w:t>backdoor means to violate Due Process and indefinitely detain an alien.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The continuing detention of Petitioner does not serve to ensure the safety of the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community or the appearance of Petitioner at future court hearings; instead, it effectively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punishes him for having won relief in his case and pressures him to accept deportation to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escape jail even though he has a judicially-recognized claim to remain in the United</w:t>
      </w:r>
      <w:r w:rsidR="002D4BE5">
        <w:rPr>
          <w:rFonts w:ascii="Times New Roman" w:hAnsi="Times New Roman" w:cs="Times New Roman"/>
          <w:sz w:val="26"/>
          <w:szCs w:val="26"/>
        </w:rPr>
        <w:t xml:space="preserve"> </w:t>
      </w:r>
      <w:r w:rsidRPr="002D4BE5">
        <w:rPr>
          <w:rFonts w:ascii="Times New Roman" w:hAnsi="Times New Roman" w:cs="Times New Roman"/>
          <w:sz w:val="26"/>
          <w:szCs w:val="26"/>
        </w:rPr>
        <w:t>States with his family.</w:t>
      </w:r>
    </w:p>
    <w:sectPr w:rsidR="00843A6E" w:rsidRPr="002D4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5A"/>
    <w:rsid w:val="00180A5A"/>
    <w:rsid w:val="002D4BE5"/>
    <w:rsid w:val="004E7A42"/>
    <w:rsid w:val="00843A6E"/>
    <w:rsid w:val="00C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C550"/>
  <w15:chartTrackingRefBased/>
  <w15:docId w15:val="{34542BB5-C77F-4525-8EDA-ACAFDF8F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Bruning</dc:creator>
  <cp:keywords/>
  <dc:description/>
  <cp:lastModifiedBy>John Bruning</cp:lastModifiedBy>
  <cp:revision>2</cp:revision>
  <dcterms:created xsi:type="dcterms:W3CDTF">2020-10-20T17:43:00Z</dcterms:created>
  <dcterms:modified xsi:type="dcterms:W3CDTF">2020-10-20T18:30:00Z</dcterms:modified>
</cp:coreProperties>
</file>